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60" w:lineRule="auto"/>
        <w:jc w:val="both"/>
        <w:rPr>
          <w:rFonts w:ascii="Average" w:cs="Average" w:eastAsia="Average" w:hAnsi="Average"/>
          <w:sz w:val="44"/>
          <w:szCs w:val="44"/>
        </w:rPr>
      </w:pPr>
      <w:bookmarkStart w:colFirst="0" w:colLast="0" w:name="_uow6fb8r9vr9" w:id="0"/>
      <w:bookmarkEnd w:id="0"/>
      <w:r w:rsidDel="00000000" w:rsidR="00000000" w:rsidRPr="00000000">
        <w:rPr>
          <w:rFonts w:ascii="Average" w:cs="Average" w:eastAsia="Average" w:hAnsi="Average"/>
          <w:sz w:val="44"/>
          <w:szCs w:val="44"/>
          <w:rtl w:val="0"/>
        </w:rPr>
        <w:t xml:space="preserve">Are you an organiser of an event?</w:t>
      </w:r>
    </w:p>
    <w:p w:rsidR="00000000" w:rsidDel="00000000" w:rsidP="00000000" w:rsidRDefault="00000000" w:rsidRPr="00000000" w14:paraId="00000002">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you who are in a position of responsibility.</w:t>
      </w:r>
      <w:r w:rsidDel="00000000" w:rsidR="00000000" w:rsidRPr="00000000">
        <w:rPr>
          <w:rtl w:val="0"/>
        </w:rPr>
      </w:r>
    </w:p>
    <w:p w:rsidR="00000000" w:rsidDel="00000000" w:rsidP="00000000" w:rsidRDefault="00000000" w:rsidRPr="00000000" w14:paraId="00000003">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Whether you’re responsible for an event, an organisation, or something else, it’s a good idea to be prepared for how to handle eventual conflicts or boundary-crossing behaviour. This document is meant to help you along, but at the end of the day it’s your decision as an organiser how to best take care of the participants, the other organisers, and yourself.</w:t>
      </w:r>
    </w:p>
    <w:p w:rsidR="00000000" w:rsidDel="00000000" w:rsidP="00000000" w:rsidRDefault="00000000" w:rsidRPr="00000000" w14:paraId="00000004">
      <w:pPr>
        <w:spacing w:line="360" w:lineRule="auto"/>
        <w:jc w:val="both"/>
        <w:rPr>
          <w:rFonts w:ascii="Average" w:cs="Average" w:eastAsia="Average" w:hAnsi="Average"/>
          <w:i w:val="1"/>
          <w:iCs w:val="1"/>
        </w:rPr>
      </w:pPr>
      <w:r w:rsidDel="00000000" w:rsidR="00000000" w:rsidRPr="00000000">
        <w:rPr>
          <w:rtl w:val="0"/>
        </w:rPr>
      </w:r>
    </w:p>
    <w:p w:rsidR="00000000" w:rsidDel="00000000" w:rsidP="00000000" w:rsidRDefault="00000000" w:rsidRPr="00000000" w14:paraId="00000005">
      <w:pPr>
        <w:spacing w:line="360" w:lineRule="auto"/>
        <w:jc w:val="both"/>
        <w:rPr>
          <w:rFonts w:ascii="Average" w:cs="Average" w:eastAsia="Average" w:hAnsi="Average"/>
          <w:i w:val="1"/>
          <w:iCs w:val="1"/>
        </w:rPr>
      </w:pPr>
      <w:hyperlink r:id="rId7">
        <w:r w:rsidDel="00000000" w:rsidR="00000000" w:rsidRPr="00000000">
          <w:rPr>
            <w:rFonts w:ascii="Average" w:cs="Average" w:eastAsia="Average" w:hAnsi="Average"/>
            <w:i w:val="1"/>
            <w:iCs w:val="1"/>
            <w:color w:val="1155cc"/>
            <w:u w:val="single"/>
            <w:rtl w:val="0"/>
          </w:rPr>
          <w:t xml:space="preserve">Bifrost has a draft for a code of conduct</w:t>
        </w:r>
      </w:hyperlink>
      <w:r w:rsidDel="00000000" w:rsidR="00000000" w:rsidRPr="00000000">
        <w:rPr>
          <w:rFonts w:ascii="Average" w:cs="Average" w:eastAsia="Average" w:hAnsi="Average"/>
          <w:i w:val="1"/>
          <w:iCs w:val="1"/>
          <w:rtl w:val="0"/>
        </w:rPr>
        <w:t xml:space="preserve"> (in Danish) which you can use for your event or within your organisation. They also offer courses where you can learn more about how to tackle safety at your events.</w:t>
      </w:r>
    </w:p>
    <w:p w:rsidR="00000000" w:rsidDel="00000000" w:rsidP="00000000" w:rsidRDefault="00000000" w:rsidRPr="00000000" w14:paraId="00000006">
      <w:pPr>
        <w:spacing w:line="360" w:lineRule="auto"/>
        <w:jc w:val="both"/>
        <w:rPr>
          <w:rFonts w:ascii="Average" w:cs="Average" w:eastAsia="Average" w:hAnsi="Average"/>
          <w:i w:val="1"/>
          <w:iCs w:val="1"/>
        </w:rPr>
      </w:pPr>
      <w:r w:rsidDel="00000000" w:rsidR="00000000" w:rsidRPr="00000000">
        <w:rPr>
          <w:rtl w:val="0"/>
        </w:rPr>
      </w:r>
    </w:p>
    <w:p w:rsidR="00000000" w:rsidDel="00000000" w:rsidP="00000000" w:rsidRDefault="00000000" w:rsidRPr="00000000" w14:paraId="00000007">
      <w:pPr>
        <w:pStyle w:val="Heading2"/>
        <w:spacing w:line="360" w:lineRule="auto"/>
        <w:jc w:val="both"/>
        <w:rPr>
          <w:rFonts w:ascii="Average" w:cs="Average" w:eastAsia="Average" w:hAnsi="Average"/>
          <w:b w:val="1"/>
          <w:bCs w:val="1"/>
          <w:sz w:val="26"/>
          <w:szCs w:val="26"/>
        </w:rPr>
      </w:pPr>
      <w:bookmarkStart w:colFirst="0" w:colLast="0" w:name="_v34zmmeliump" w:id="1"/>
      <w:bookmarkEnd w:id="1"/>
      <w:r w:rsidDel="00000000" w:rsidR="00000000" w:rsidRPr="00000000">
        <w:rPr>
          <w:rFonts w:ascii="Average" w:cs="Average" w:eastAsia="Average" w:hAnsi="Average"/>
          <w:b w:val="1"/>
          <w:bCs w:val="1"/>
          <w:sz w:val="26"/>
          <w:szCs w:val="26"/>
          <w:rtl w:val="0"/>
        </w:rPr>
        <w:t xml:space="preserve">Create guidelines/a code of conduct</w:t>
      </w:r>
      <w:r w:rsidDel="00000000" w:rsidR="00000000" w:rsidRPr="00000000">
        <w:rPr>
          <w:rtl w:val="0"/>
        </w:rPr>
      </w:r>
    </w:p>
    <w:p w:rsidR="00000000" w:rsidDel="00000000" w:rsidP="00000000" w:rsidRDefault="00000000" w:rsidRPr="00000000" w14:paraId="00000008">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Guidelines is one of several methods you can use to prevent boundary-crossing behaviour. It establishes your expectations for how you want organisers and participants to treat each other. The Danish Working Environment Authority has created a number of suggestions for what those guidelines should include as well as how to implement them</w:t>
      </w:r>
      <w:r w:rsidDel="00000000" w:rsidR="00000000" w:rsidRPr="00000000">
        <w:rPr>
          <w:rFonts w:ascii="Average" w:cs="Average" w:eastAsia="Average" w:hAnsi="Average"/>
          <w:vertAlign w:val="superscript"/>
        </w:rPr>
        <w:footnoteReference w:customMarkFollows="0" w:id="0"/>
      </w:r>
      <w:r w:rsidDel="00000000" w:rsidR="00000000" w:rsidRPr="00000000">
        <w:rPr>
          <w:rFonts w:ascii="Average" w:cs="Average" w:eastAsia="Average" w:hAnsi="Average"/>
          <w:rtl w:val="0"/>
        </w:rPr>
        <w:t xml:space="preserve">:</w:t>
      </w:r>
    </w:p>
    <w:p w:rsidR="00000000" w:rsidDel="00000000" w:rsidP="00000000" w:rsidRDefault="00000000" w:rsidRPr="00000000" w14:paraId="00000009">
      <w:pPr>
        <w:numPr>
          <w:ilvl w:val="0"/>
          <w:numId w:val="2"/>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Create a clear understanding for everyone of what constitutes acceptable behaviour within the organisation.</w:t>
      </w:r>
    </w:p>
    <w:p w:rsidR="00000000" w:rsidDel="00000000" w:rsidP="00000000" w:rsidRDefault="00000000" w:rsidRPr="00000000" w14:paraId="0000000A">
      <w:pPr>
        <w:numPr>
          <w:ilvl w:val="0"/>
          <w:numId w:val="2"/>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Present new members of the organisation with the code of conduct and explain what they should do if they think someone’s boundaries are being crossed - including who to turn to and what the process entails from there. It’s often helpful if this is available in writing to make it easier to refer back to the guidelines, and it can be helpful for people with less influence within the organisation.</w:t>
      </w:r>
    </w:p>
    <w:p w:rsidR="00000000" w:rsidDel="00000000" w:rsidP="00000000" w:rsidRDefault="00000000" w:rsidRPr="00000000" w14:paraId="0000000B">
      <w:pPr>
        <w:numPr>
          <w:ilvl w:val="0"/>
          <w:numId w:val="2"/>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Communicate clearly that all incidents will be taken seriously as well as potential consequences for boundary-crossing behaviour.</w:t>
      </w:r>
    </w:p>
    <w:p w:rsidR="00000000" w:rsidDel="00000000" w:rsidP="00000000" w:rsidRDefault="00000000" w:rsidRPr="00000000" w14:paraId="0000000C">
      <w:pPr>
        <w:numPr>
          <w:ilvl w:val="0"/>
          <w:numId w:val="2"/>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Maintain ongoing, informal conversations about boundary-crossing behaviour to talk about how to handle it within the different parts of the organisation. It’s a good idea to make sure you can talk about it before a situation arises.</w:t>
      </w:r>
    </w:p>
    <w:p w:rsidR="00000000" w:rsidDel="00000000" w:rsidP="00000000" w:rsidRDefault="00000000" w:rsidRPr="00000000" w14:paraId="0000000D">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It’s also a good idea to consider:</w:t>
      </w:r>
    </w:p>
    <w:p w:rsidR="00000000" w:rsidDel="00000000" w:rsidP="00000000" w:rsidRDefault="00000000" w:rsidRPr="00000000" w14:paraId="0000000E">
      <w:pPr>
        <w:numPr>
          <w:ilvl w:val="0"/>
          <w:numId w:val="1"/>
        </w:numPr>
        <w:spacing w:after="240" w:before="240"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Communicating your guidelines clearly through multiple channels, including </w:t>
      </w:r>
      <w:r w:rsidDel="00000000" w:rsidR="00000000" w:rsidRPr="00000000">
        <w:rPr>
          <w:rFonts w:ascii="Average" w:cs="Average" w:eastAsia="Average" w:hAnsi="Average"/>
          <w:i w:val="1"/>
          <w:iCs w:val="1"/>
          <w:rtl w:val="0"/>
        </w:rPr>
        <w:t xml:space="preserve">on a website, as part of your introduction at the event, on posters in common areas and in the bathrooms, as a part of the sign-up process etc.</w:t>
      </w:r>
    </w:p>
    <w:p w:rsidR="00000000" w:rsidDel="00000000" w:rsidP="00000000" w:rsidRDefault="00000000" w:rsidRPr="00000000" w14:paraId="0000000F">
      <w:pPr>
        <w:spacing w:after="240" w:before="240" w:line="360" w:lineRule="auto"/>
        <w:jc w:val="both"/>
        <w:rPr>
          <w:rFonts w:ascii="Average" w:cs="Average" w:eastAsia="Average" w:hAnsi="Average"/>
        </w:rPr>
      </w:pPr>
      <w:hyperlink r:id="rId8">
        <w:r w:rsidDel="00000000" w:rsidR="00000000" w:rsidRPr="00000000">
          <w:rPr>
            <w:rFonts w:ascii="Average" w:cs="Average" w:eastAsia="Average" w:hAnsi="Average"/>
            <w:color w:val="1155cc"/>
            <w:u w:val="single"/>
            <w:rtl w:val="0"/>
          </w:rPr>
          <w:t xml:space="preserve">Bifrost has a draft for a code of conduct which you can see here.</w:t>
        </w:r>
      </w:hyperlink>
      <w:r w:rsidDel="00000000" w:rsidR="00000000" w:rsidRPr="00000000">
        <w:rPr>
          <w:rFonts w:ascii="Average" w:cs="Average" w:eastAsia="Average" w:hAnsi="Average"/>
          <w:rtl w:val="0"/>
        </w:rPr>
        <w:t xml:space="preserve"> (in Danish)</w:t>
      </w:r>
      <w:r w:rsidDel="00000000" w:rsidR="00000000" w:rsidRPr="00000000">
        <w:rPr>
          <w:rtl w:val="0"/>
        </w:rPr>
      </w:r>
    </w:p>
    <w:p w:rsidR="00000000" w:rsidDel="00000000" w:rsidP="00000000" w:rsidRDefault="00000000" w:rsidRPr="00000000" w14:paraId="00000010">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A code of conduct is also a backup and a common reference should a situation arise that you will need to deal with. It makes it easier to ensure transparency, to clearly communicate expectations, and to streamline the consequences that you have decided in advance will apply to these situations. Of course you cannot predict every possibility and you might have to deal with unexpected situations, but the code of conduct is a good starting point. It’s a bit like a fire escape plan: it works a lot better to have a plan before the fire than trying to put one together while everything is on fire. It’s important that the code of conduct clearly describes the different roles and responsibilities of people within the organisation as well as how an incident will be handled, should they arise. The most important thing you can do is draft a plan for how you want to act in advance.</w:t>
      </w:r>
    </w:p>
    <w:p w:rsidR="00000000" w:rsidDel="00000000" w:rsidP="00000000" w:rsidRDefault="00000000" w:rsidRPr="00000000" w14:paraId="00000011">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2">
      <w:pPr>
        <w:pStyle w:val="Heading2"/>
        <w:spacing w:after="240" w:before="240" w:line="360" w:lineRule="auto"/>
        <w:jc w:val="both"/>
        <w:rPr>
          <w:rFonts w:ascii="Average" w:cs="Average" w:eastAsia="Average" w:hAnsi="Average"/>
          <w:b w:val="1"/>
          <w:bCs w:val="1"/>
          <w:sz w:val="26"/>
          <w:szCs w:val="26"/>
        </w:rPr>
      </w:pPr>
      <w:bookmarkStart w:colFirst="0" w:colLast="0" w:name="_el7kcb4idrx" w:id="2"/>
      <w:bookmarkEnd w:id="2"/>
      <w:r w:rsidDel="00000000" w:rsidR="00000000" w:rsidRPr="00000000">
        <w:rPr>
          <w:rFonts w:ascii="Average" w:cs="Average" w:eastAsia="Average" w:hAnsi="Average"/>
          <w:b w:val="1"/>
          <w:bCs w:val="1"/>
          <w:sz w:val="26"/>
          <w:szCs w:val="26"/>
          <w:rtl w:val="0"/>
        </w:rPr>
        <w:t xml:space="preserve">Clear communication with clear responsibilities and roles</w:t>
      </w:r>
    </w:p>
    <w:p w:rsidR="00000000" w:rsidDel="00000000" w:rsidP="00000000" w:rsidRDefault="00000000" w:rsidRPr="00000000" w14:paraId="00000013">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Your event can handle safety in many different ways. Some organisers prefer having a GM or organiser responsible for taking care of the participants whether it pertains to the game design or conflicts between the players. This might be the case for tabletop roleplaying or a small, local larp. Others divide into distinct teams in which each are responsible for keeping an eye on their own people and report back if there’s anything that needs to be dealt with.</w:t>
      </w:r>
      <w:r w:rsidDel="00000000" w:rsidR="00000000" w:rsidRPr="00000000">
        <w:rPr>
          <w:rtl w:val="0"/>
        </w:rPr>
      </w:r>
    </w:p>
    <w:p w:rsidR="00000000" w:rsidDel="00000000" w:rsidP="00000000" w:rsidRDefault="00000000" w:rsidRPr="00000000" w14:paraId="00000014">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Several organisations are starting to work with the role of safety persons: this describes persons tasked with supporting and assisting anyone who needs help. It can be a good idea to have several </w:t>
      </w:r>
      <w:r w:rsidDel="00000000" w:rsidR="00000000" w:rsidRPr="00000000">
        <w:rPr>
          <w:rFonts w:ascii="Average" w:cs="Average" w:eastAsia="Average" w:hAnsi="Average"/>
          <w:rtl w:val="0"/>
        </w:rPr>
        <w:t xml:space="preserve">safety</w:t>
      </w:r>
      <w:r w:rsidDel="00000000" w:rsidR="00000000" w:rsidRPr="00000000">
        <w:rPr>
          <w:rFonts w:ascii="Average" w:cs="Average" w:eastAsia="Average" w:hAnsi="Average"/>
          <w:rtl w:val="0"/>
        </w:rPr>
        <w:t xml:space="preserve"> persons so they can support each other if needed. It can also be beneficial to have a wide representation of gender, age, level of education etc. among the safety persons so the participants can find common ground with one or several of them. It’s often helpful if the safety persons aren’t organisers of the event themselves, but instead volunteers or associated employees.</w:t>
      </w:r>
    </w:p>
    <w:p w:rsidR="00000000" w:rsidDel="00000000" w:rsidP="00000000" w:rsidRDefault="00000000" w:rsidRPr="00000000" w14:paraId="00000015">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However you choose to handle safety and well-being, it’s important to make sure you communicate your policies clearly to your participants.</w:t>
      </w:r>
    </w:p>
    <w:p w:rsidR="00000000" w:rsidDel="00000000" w:rsidP="00000000" w:rsidRDefault="00000000" w:rsidRPr="00000000" w14:paraId="00000016">
      <w:pPr>
        <w:spacing w:after="240" w:before="240"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7">
      <w:pPr>
        <w:pStyle w:val="Heading2"/>
        <w:spacing w:after="240" w:before="240" w:line="360" w:lineRule="auto"/>
        <w:jc w:val="both"/>
        <w:rPr>
          <w:rFonts w:ascii="Average" w:cs="Average" w:eastAsia="Average" w:hAnsi="Average"/>
          <w:b w:val="1"/>
          <w:bCs w:val="1"/>
          <w:sz w:val="26"/>
          <w:szCs w:val="26"/>
        </w:rPr>
      </w:pPr>
      <w:bookmarkStart w:colFirst="0" w:colLast="0" w:name="_iwyfei7mbi3u" w:id="3"/>
      <w:bookmarkEnd w:id="3"/>
      <w:r w:rsidDel="00000000" w:rsidR="00000000" w:rsidRPr="00000000">
        <w:rPr>
          <w:rFonts w:ascii="Average" w:cs="Average" w:eastAsia="Average" w:hAnsi="Average"/>
          <w:b w:val="1"/>
          <w:bCs w:val="1"/>
          <w:sz w:val="26"/>
          <w:szCs w:val="26"/>
          <w:rtl w:val="0"/>
        </w:rPr>
        <w:t xml:space="preserve">Organising for minors</w:t>
      </w:r>
    </w:p>
    <w:p w:rsidR="00000000" w:rsidDel="00000000" w:rsidP="00000000" w:rsidRDefault="00000000" w:rsidRPr="00000000" w14:paraId="00000018">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When you’re organising for minors it’s important to keep their safety in mind. You can do this by e.g. checking the criminal records of all volunteers and organisers for any history pertaining to minors to underline the social and legal responsibility, if this is possible. It’s essential to have clearly stated and documented expectations for how to handle the interplays of age, responsibilities, and relationships. You could for example create guidelines for how to interact with children above and below 16 years of age, and your expectations for ethical conduct between participants and organisers could pave the way for a productive dialogue about where you are right now and what you want to achieve in the longer term with regards to ensuring the rights and safety of minors.</w:t>
      </w:r>
      <w:r w:rsidDel="00000000" w:rsidR="00000000" w:rsidRPr="00000000">
        <w:rPr>
          <w:rtl w:val="0"/>
        </w:rPr>
      </w:r>
    </w:p>
    <w:p w:rsidR="00000000" w:rsidDel="00000000" w:rsidP="00000000" w:rsidRDefault="00000000" w:rsidRPr="00000000" w14:paraId="00000019">
      <w:pPr>
        <w:spacing w:after="240" w:before="240"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A">
      <w:pPr>
        <w:pStyle w:val="Heading2"/>
        <w:spacing w:after="240" w:before="240" w:line="360" w:lineRule="auto"/>
        <w:jc w:val="both"/>
        <w:rPr>
          <w:rFonts w:ascii="Average" w:cs="Average" w:eastAsia="Average" w:hAnsi="Average"/>
          <w:b w:val="1"/>
          <w:bCs w:val="1"/>
          <w:sz w:val="26"/>
          <w:szCs w:val="26"/>
        </w:rPr>
      </w:pPr>
      <w:bookmarkStart w:colFirst="0" w:colLast="0" w:name="_a5han857m0i7" w:id="4"/>
      <w:bookmarkEnd w:id="4"/>
      <w:r w:rsidDel="00000000" w:rsidR="00000000" w:rsidRPr="00000000">
        <w:rPr>
          <w:rFonts w:ascii="Average" w:cs="Average" w:eastAsia="Average" w:hAnsi="Average"/>
          <w:b w:val="1"/>
          <w:bCs w:val="1"/>
          <w:sz w:val="26"/>
          <w:szCs w:val="26"/>
          <w:rtl w:val="0"/>
        </w:rPr>
        <w:t xml:space="preserve">Confidentiality</w:t>
      </w:r>
    </w:p>
    <w:p w:rsidR="00000000" w:rsidDel="00000000" w:rsidP="00000000" w:rsidRDefault="00000000" w:rsidRPr="00000000" w14:paraId="0000001B">
      <w:pPr>
        <w:spacing w:after="240" w:before="240" w:line="360" w:lineRule="auto"/>
        <w:jc w:val="both"/>
        <w:rPr>
          <w:rFonts w:ascii="Average" w:cs="Average" w:eastAsia="Average" w:hAnsi="Average"/>
          <w:i w:val="1"/>
          <w:iCs w:val="1"/>
          <w:u w:val="single"/>
        </w:rPr>
      </w:pPr>
      <w:r w:rsidDel="00000000" w:rsidR="00000000" w:rsidRPr="00000000">
        <w:rPr>
          <w:rFonts w:ascii="Average" w:cs="Average" w:eastAsia="Average" w:hAnsi="Average"/>
          <w:rtl w:val="0"/>
        </w:rPr>
        <w:t xml:space="preserve">When someone reaches out to you about an incident, the respectful approach is to treat it with confidentiality as this can help ensure a proper and dignified treatment of everyone involved. A basic rule of thumb is to never volunteer information about a person without express consent. Express consent means asking the person in question and receiving a clear “yes” either verbally or in writing. It’s a good idea to consider how to handle sharing information about people that might be a danger to others before, during, and after an event, especially concerning legal requirements. </w:t>
      </w:r>
      <w:r w:rsidDel="00000000" w:rsidR="00000000" w:rsidRPr="00000000">
        <w:rPr>
          <w:rFonts w:ascii="Average" w:cs="Average" w:eastAsia="Average" w:hAnsi="Average"/>
          <w:i w:val="1"/>
          <w:iCs w:val="1"/>
          <w:u w:val="single"/>
          <w:rtl w:val="0"/>
        </w:rPr>
        <w:t xml:space="preserve">Be aware that certain positions might require you to keep confidentiality by law.</w:t>
      </w:r>
      <w:r w:rsidDel="00000000" w:rsidR="00000000" w:rsidRPr="00000000">
        <w:rPr>
          <w:rtl w:val="0"/>
        </w:rPr>
      </w:r>
    </w:p>
    <w:p w:rsidR="00000000" w:rsidDel="00000000" w:rsidP="00000000" w:rsidRDefault="00000000" w:rsidRPr="00000000" w14:paraId="0000001C">
      <w:pPr>
        <w:spacing w:after="240" w:before="240"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D">
      <w:pPr>
        <w:pStyle w:val="Heading2"/>
        <w:spacing w:after="240" w:before="240" w:line="360" w:lineRule="auto"/>
        <w:jc w:val="both"/>
        <w:rPr>
          <w:rFonts w:ascii="Average" w:cs="Average" w:eastAsia="Average" w:hAnsi="Average"/>
          <w:b w:val="1"/>
          <w:bCs w:val="1"/>
          <w:sz w:val="26"/>
          <w:szCs w:val="26"/>
        </w:rPr>
      </w:pPr>
      <w:bookmarkStart w:colFirst="0" w:colLast="0" w:name="_uo7anky9r56u" w:id="5"/>
      <w:bookmarkEnd w:id="5"/>
      <w:r w:rsidDel="00000000" w:rsidR="00000000" w:rsidRPr="00000000">
        <w:rPr>
          <w:rFonts w:ascii="Average" w:cs="Average" w:eastAsia="Average" w:hAnsi="Average"/>
          <w:b w:val="1"/>
          <w:bCs w:val="1"/>
          <w:sz w:val="26"/>
          <w:szCs w:val="26"/>
          <w:rtl w:val="0"/>
        </w:rPr>
        <w:t xml:space="preserve">Safety and choice in handling of a case</w:t>
      </w:r>
    </w:p>
    <w:p w:rsidR="00000000" w:rsidDel="00000000" w:rsidP="00000000" w:rsidRDefault="00000000" w:rsidRPr="00000000" w14:paraId="0000001E">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It’s important to give the person who had their boundaries crossed the opportunity to decide how they want the case to be handled, including whether it should be reported to authorities. The victim might hesitate to report boundary-crossing behaviour because they’re afraid of how the other party’s or their own social circles might react. Reporting can also involve a lot of work for the victim which means they have to balance wanting to address unacceptable behaviour with being afraid of the consequences or feeling unable to handle the work.</w:t>
      </w:r>
      <w:r w:rsidDel="00000000" w:rsidR="00000000" w:rsidRPr="00000000">
        <w:rPr>
          <w:rtl w:val="0"/>
        </w:rPr>
      </w:r>
    </w:p>
    <w:p w:rsidR="00000000" w:rsidDel="00000000" w:rsidP="00000000" w:rsidRDefault="00000000" w:rsidRPr="00000000" w14:paraId="0000001F">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As an organiser it’s important to clearly state the degree of transparency you operate with, without making it feel unsafe to reach out to you. You should also state what you will do to make sure the involved persons will be heard, including how this might lead to a learning opportunity and eventual forgiveness if that is possible for the people involved.</w:t>
      </w:r>
    </w:p>
    <w:p w:rsidR="00000000" w:rsidDel="00000000" w:rsidP="00000000" w:rsidRDefault="00000000" w:rsidRPr="00000000" w14:paraId="00000020">
      <w:pPr>
        <w:spacing w:after="240" w:before="240"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1">
      <w:pPr>
        <w:pStyle w:val="Heading2"/>
        <w:spacing w:after="240" w:before="240" w:line="360" w:lineRule="auto"/>
        <w:jc w:val="both"/>
        <w:rPr>
          <w:rFonts w:ascii="Average" w:cs="Average" w:eastAsia="Average" w:hAnsi="Average"/>
          <w:b w:val="1"/>
          <w:bCs w:val="1"/>
          <w:sz w:val="26"/>
          <w:szCs w:val="26"/>
        </w:rPr>
      </w:pPr>
      <w:bookmarkStart w:colFirst="0" w:colLast="0" w:name="_k1pr1b4t7rk6" w:id="6"/>
      <w:bookmarkEnd w:id="6"/>
      <w:r w:rsidDel="00000000" w:rsidR="00000000" w:rsidRPr="00000000">
        <w:rPr>
          <w:rFonts w:ascii="Average" w:cs="Average" w:eastAsia="Average" w:hAnsi="Average"/>
          <w:b w:val="1"/>
          <w:bCs w:val="1"/>
          <w:sz w:val="26"/>
          <w:szCs w:val="26"/>
          <w:rtl w:val="0"/>
        </w:rPr>
        <w:t xml:space="preserve">Handling cases involving minors</w:t>
      </w:r>
    </w:p>
    <w:p w:rsidR="00000000" w:rsidDel="00000000" w:rsidP="00000000" w:rsidRDefault="00000000" w:rsidRPr="00000000" w14:paraId="00000022">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If a case involves a minor it’s important to notify the parents or guardians, preferably with the minor’s knowledge and consent.</w:t>
      </w:r>
      <w:r w:rsidDel="00000000" w:rsidR="00000000" w:rsidRPr="00000000">
        <w:rPr>
          <w:rtl w:val="0"/>
        </w:rPr>
      </w:r>
    </w:p>
    <w:p w:rsidR="00000000" w:rsidDel="00000000" w:rsidP="00000000" w:rsidRDefault="00000000" w:rsidRPr="00000000" w14:paraId="00000023">
      <w:pPr>
        <w:spacing w:after="240" w:before="240"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4">
      <w:pPr>
        <w:pStyle w:val="Heading2"/>
        <w:rPr>
          <w:rFonts w:ascii="Average" w:cs="Average" w:eastAsia="Average" w:hAnsi="Average"/>
          <w:b w:val="1"/>
          <w:bCs w:val="1"/>
          <w:sz w:val="26"/>
          <w:szCs w:val="26"/>
        </w:rPr>
      </w:pPr>
      <w:bookmarkStart w:colFirst="0" w:colLast="0" w:name="_d51zr35avh8s" w:id="7"/>
      <w:bookmarkEnd w:id="7"/>
      <w:r w:rsidDel="00000000" w:rsidR="00000000" w:rsidRPr="00000000">
        <w:rPr>
          <w:rFonts w:ascii="Average" w:cs="Average" w:eastAsia="Average" w:hAnsi="Average"/>
          <w:b w:val="1"/>
          <w:bCs w:val="1"/>
          <w:sz w:val="26"/>
          <w:szCs w:val="26"/>
          <w:rtl w:val="0"/>
        </w:rPr>
        <w:t xml:space="preserve">If you need help</w:t>
      </w:r>
    </w:p>
    <w:p w:rsidR="00000000" w:rsidDel="00000000" w:rsidP="00000000" w:rsidRDefault="00000000" w:rsidRPr="00000000" w14:paraId="00000025">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If you or others in your organisation struggle to handle a certain case, you can reach out to someone who has been in your position before or contact the organisation Bifrost by email at </w:t>
      </w:r>
      <w:hyperlink r:id="rId9">
        <w:r w:rsidDel="00000000" w:rsidR="00000000" w:rsidRPr="00000000">
          <w:rPr>
            <w:rFonts w:ascii="Average" w:cs="Average" w:eastAsia="Average" w:hAnsi="Average"/>
            <w:color w:val="1155cc"/>
            <w:u w:val="single"/>
            <w:rtl w:val="0"/>
          </w:rPr>
          <w:t xml:space="preserve">info@landsforeningenbifrost.dk</w:t>
        </w:r>
      </w:hyperlink>
      <w:r w:rsidDel="00000000" w:rsidR="00000000" w:rsidRPr="00000000">
        <w:rPr>
          <w:rFonts w:ascii="Average" w:cs="Average" w:eastAsia="Average" w:hAnsi="Average"/>
          <w:rtl w:val="0"/>
        </w:rPr>
        <w:t xml:space="preserve">, if the incident took place in Denmark</w:t>
      </w:r>
      <w:r w:rsidDel="00000000" w:rsidR="00000000" w:rsidRPr="00000000">
        <w:rPr>
          <w:rFonts w:ascii="Average" w:cs="Average" w:eastAsia="Average" w:hAnsi="Average"/>
          <w:rtl w:val="0"/>
        </w:rPr>
        <w:t xml:space="preserve">. You are not alone, and there are others who want to help you deal with the situation properly to ensure everyone is treated well. You could also reach out to an impartial third party for help to consider the situation more objectively - but remember to obtain consent from the parties involved before you share their information with a third party. This can be especially helpful if a close friend is involved in the case.</w:t>
      </w:r>
      <w:r w:rsidDel="00000000" w:rsidR="00000000" w:rsidRPr="00000000">
        <w:rPr>
          <w:rtl w:val="0"/>
        </w:rPr>
      </w:r>
    </w:p>
    <w:p w:rsidR="00000000" w:rsidDel="00000000" w:rsidP="00000000" w:rsidRDefault="00000000" w:rsidRPr="00000000" w14:paraId="00000026">
      <w:pPr>
        <w:spacing w:after="240" w:before="240"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7">
      <w:pPr>
        <w:pStyle w:val="Heading2"/>
        <w:rPr>
          <w:rFonts w:ascii="Average" w:cs="Average" w:eastAsia="Average" w:hAnsi="Average"/>
          <w:b w:val="1"/>
          <w:bCs w:val="1"/>
          <w:sz w:val="26"/>
          <w:szCs w:val="26"/>
        </w:rPr>
      </w:pPr>
      <w:bookmarkStart w:colFirst="0" w:colLast="0" w:name="_63afqldrnw00" w:id="8"/>
      <w:bookmarkEnd w:id="8"/>
      <w:r w:rsidDel="00000000" w:rsidR="00000000" w:rsidRPr="00000000">
        <w:rPr>
          <w:rFonts w:ascii="Average" w:cs="Average" w:eastAsia="Average" w:hAnsi="Average"/>
          <w:b w:val="1"/>
          <w:bCs w:val="1"/>
          <w:sz w:val="26"/>
          <w:szCs w:val="26"/>
          <w:rtl w:val="0"/>
        </w:rPr>
        <w:t xml:space="preserve">Resources</w:t>
      </w:r>
    </w:p>
    <w:p w:rsidR="00000000" w:rsidDel="00000000" w:rsidP="00000000" w:rsidRDefault="00000000" w:rsidRPr="00000000" w14:paraId="00000028">
      <w:pPr>
        <w:spacing w:after="240" w:line="360" w:lineRule="auto"/>
        <w:rPr>
          <w:rFonts w:ascii="Average" w:cs="Average" w:eastAsia="Average" w:hAnsi="Average"/>
        </w:rPr>
      </w:pPr>
      <w:r w:rsidDel="00000000" w:rsidR="00000000" w:rsidRPr="00000000">
        <w:rPr>
          <w:rFonts w:ascii="Average" w:cs="Average" w:eastAsia="Average" w:hAnsi="Average"/>
          <w:rtl w:val="0"/>
        </w:rPr>
        <w:t xml:space="preserve">The Danish Working Environment Authority has some resources in English about dealing with offensive behaviour as an employer, which may also be helpful for organisers: </w:t>
      </w:r>
      <w:hyperlink r:id="rId10">
        <w:r w:rsidDel="00000000" w:rsidR="00000000" w:rsidRPr="00000000">
          <w:rPr>
            <w:rFonts w:ascii="Average" w:cs="Average" w:eastAsia="Average" w:hAnsi="Average"/>
            <w:color w:val="1155cc"/>
            <w:u w:val="single"/>
            <w:rtl w:val="0"/>
          </w:rPr>
          <w:t xml:space="preserve">https://at.dk/en/topics-tools/offensive-behaviour-must-stop-let-us-help/</w:t>
        </w:r>
      </w:hyperlink>
      <w:r w:rsidDel="00000000" w:rsidR="00000000" w:rsidRPr="00000000">
        <w:rPr>
          <w:rFonts w:ascii="Average" w:cs="Average" w:eastAsia="Average" w:hAnsi="Average"/>
          <w:rtl w:val="0"/>
        </w:rPr>
        <w:t xml:space="preserve"> </w:t>
      </w:r>
    </w:p>
    <w:p w:rsidR="00000000" w:rsidDel="00000000" w:rsidP="00000000" w:rsidRDefault="00000000" w:rsidRPr="00000000" w14:paraId="00000029">
      <w:pPr>
        <w:spacing w:after="240" w:line="360" w:lineRule="auto"/>
        <w:rPr>
          <w:rFonts w:ascii="Average" w:cs="Average" w:eastAsia="Average" w:hAnsi="Average"/>
        </w:rPr>
      </w:pPr>
      <w:r w:rsidDel="00000000" w:rsidR="00000000" w:rsidRPr="00000000">
        <w:rPr>
          <w:rFonts w:ascii="Average" w:cs="Average" w:eastAsia="Average" w:hAnsi="Average"/>
          <w:rtl w:val="0"/>
        </w:rPr>
        <w:t xml:space="preserve">ASAE (American Society of Association Executives) has a short guide on how to write a code of conduct for an event: </w:t>
      </w:r>
      <w:hyperlink r:id="rId11">
        <w:r w:rsidDel="00000000" w:rsidR="00000000" w:rsidRPr="00000000">
          <w:rPr>
            <w:rFonts w:ascii="Average" w:cs="Average" w:eastAsia="Average" w:hAnsi="Average"/>
            <w:color w:val="1155cc"/>
            <w:u w:val="single"/>
            <w:rtl w:val="0"/>
          </w:rPr>
          <w:t xml:space="preserve">https://www.asaecenter.org/resources/articles/an_plus/2019/october/why-and-how-to-develop-an-event-code-of-conduct</w:t>
        </w:r>
      </w:hyperlink>
      <w:r w:rsidDel="00000000" w:rsidR="00000000" w:rsidRPr="00000000">
        <w:rPr>
          <w:rFonts w:ascii="Average" w:cs="Average" w:eastAsia="Average" w:hAnsi="Average"/>
          <w:rtl w:val="0"/>
        </w:rPr>
        <w:t xml:space="preserve"> </w:t>
      </w:r>
    </w:p>
    <w:p w:rsidR="00000000" w:rsidDel="00000000" w:rsidP="00000000" w:rsidRDefault="00000000" w:rsidRPr="00000000" w14:paraId="0000002A">
      <w:pPr>
        <w:spacing w:after="240" w:line="360" w:lineRule="auto"/>
        <w:rPr>
          <w:rFonts w:ascii="Average" w:cs="Average" w:eastAsia="Average" w:hAnsi="Average"/>
          <w:highlight w:val="white"/>
        </w:rPr>
      </w:pPr>
      <w:r w:rsidDel="00000000" w:rsidR="00000000" w:rsidRPr="00000000">
        <w:rPr>
          <w:rFonts w:ascii="Average" w:cs="Average" w:eastAsia="Average" w:hAnsi="Average"/>
          <w:rtl w:val="0"/>
        </w:rPr>
        <w:t xml:space="preserve">BFA Handel (</w:t>
      </w:r>
      <w:r w:rsidDel="00000000" w:rsidR="00000000" w:rsidRPr="00000000">
        <w:rPr>
          <w:rFonts w:ascii="Average" w:cs="Average" w:eastAsia="Average" w:hAnsi="Average"/>
          <w:highlight w:val="white"/>
          <w:rtl w:val="0"/>
        </w:rPr>
        <w:t xml:space="preserve">The Sector Working Environment Committee for Retailing) has detailed resources on offensive behaviour in the workplace: </w:t>
      </w:r>
      <w:hyperlink r:id="rId12">
        <w:r w:rsidDel="00000000" w:rsidR="00000000" w:rsidRPr="00000000">
          <w:rPr>
            <w:rFonts w:ascii="Average" w:cs="Average" w:eastAsia="Average" w:hAnsi="Average"/>
            <w:color w:val="1155cc"/>
            <w:highlight w:val="white"/>
            <w:u w:val="single"/>
            <w:rtl w:val="0"/>
          </w:rPr>
          <w:t xml:space="preserve">https://bfahandel.dk/en/psychosocial-working-environment/offensive-behaviour</w:t>
        </w:r>
      </w:hyperlink>
      <w:r w:rsidDel="00000000" w:rsidR="00000000" w:rsidRPr="00000000">
        <w:rPr>
          <w:rFonts w:ascii="Average" w:cs="Average" w:eastAsia="Average" w:hAnsi="Average"/>
          <w:highlight w:val="white"/>
          <w:rtl w:val="0"/>
        </w:rPr>
        <w:t xml:space="preserve"> </w:t>
      </w:r>
    </w:p>
    <w:p w:rsidR="00000000" w:rsidDel="00000000" w:rsidP="00000000" w:rsidRDefault="00000000" w:rsidRPr="00000000" w14:paraId="0000002B">
      <w:pPr>
        <w:spacing w:after="240" w:line="360" w:lineRule="auto"/>
        <w:rPr/>
      </w:pPr>
      <w:r w:rsidDel="00000000" w:rsidR="00000000" w:rsidRPr="00000000">
        <w:rPr>
          <w:rFonts w:ascii="Average" w:cs="Average" w:eastAsia="Average" w:hAnsi="Average"/>
          <w:highlight w:val="white"/>
          <w:rtl w:val="0"/>
        </w:rPr>
        <w:t xml:space="preserve">The organisation Pulsely, which focuses on diversity, equity and inclusion (DEI) in the workplace, has an article on how to foster a healthy organisational culture that can help prevent offensive or inappropriate behaviour: </w:t>
      </w:r>
      <w:hyperlink r:id="rId13">
        <w:r w:rsidDel="00000000" w:rsidR="00000000" w:rsidRPr="00000000">
          <w:rPr>
            <w:rFonts w:ascii="Average" w:cs="Average" w:eastAsia="Average" w:hAnsi="Average"/>
            <w:color w:val="1155cc"/>
            <w:highlight w:val="white"/>
            <w:u w:val="single"/>
            <w:rtl w:val="0"/>
          </w:rPr>
          <w:t xml:space="preserve">https://pulsely.io/blog/how-leaders-can-prevent-inappropriate-behaviors-in-the-workplace</w:t>
        </w:r>
      </w:hyperlink>
      <w:r w:rsidDel="00000000" w:rsidR="00000000" w:rsidRPr="00000000">
        <w:rPr>
          <w:rFonts w:ascii="Average" w:cs="Average" w:eastAsia="Average" w:hAnsi="Average"/>
          <w:highlight w:val="white"/>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rage">
    <w:embedRegular w:fontKey="{00000000-0000-0000-0000-000000000000}" r:id="rId1"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C">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1155cc"/>
            <w:sz w:val="20"/>
            <w:szCs w:val="20"/>
            <w:u w:val="single"/>
            <w:rtl w:val="0"/>
          </w:rPr>
          <w:t xml:space="preserve">https://at.dk/arbejdsmiljoeproblemer/psykisk-arbejdsmiljoe/kraenkende-handlinger/lav-retningslinjer-en-politik-om-kraenkende-handlinger/</w:t>
        </w:r>
      </w:hyperlink>
      <w:r w:rsidDel="00000000" w:rsidR="00000000" w:rsidRPr="00000000">
        <w:rPr>
          <w:sz w:val="20"/>
          <w:szCs w:val="20"/>
          <w:rtl w:val="0"/>
        </w:rPr>
        <w:t xml:space="preserve"> (Danish)</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asaecenter.org/resources/articles/an_plus/2019/october/why-and-how-to-develop-an-event-code-of-conduct" TargetMode="External"/><Relationship Id="rId10" Type="http://schemas.openxmlformats.org/officeDocument/2006/relationships/hyperlink" Target="https://at.dk/en/topics-tools/offensive-behaviour-must-stop-let-us-help/" TargetMode="External"/><Relationship Id="rId13" Type="http://schemas.openxmlformats.org/officeDocument/2006/relationships/hyperlink" Target="https://pulsely.io/blog/how-leaders-can-prevent-inappropriate-behaviors-in-the-workplace" TargetMode="External"/><Relationship Id="rId12" Type="http://schemas.openxmlformats.org/officeDocument/2006/relationships/hyperlink" Target="https://bfahandel.dk/en/psychosocial-working-environment/offensive-behaviou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info@landsforeningenbifrost.dk"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landsforeningenbifrost.dk/samvaerspolitik/" TargetMode="External"/><Relationship Id="rId8" Type="http://schemas.openxmlformats.org/officeDocument/2006/relationships/hyperlink" Target="https://landsforeningenbifrost.dk/samvaerspoliti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verage-regular.ttf"/></Relationships>
</file>

<file path=word/_rels/footnotes.xml.rels><?xml version="1.0" encoding="UTF-8" standalone="yes"?><Relationships xmlns="http://schemas.openxmlformats.org/package/2006/relationships"><Relationship Id="rId1" Type="http://schemas.openxmlformats.org/officeDocument/2006/relationships/hyperlink" Target="https://at.dk/arbejdsmiljoeproblemer/psykisk-arbejdsmiljoe/kraenkende-handlinger/lav-retningslinjer-en-politik-om-kraenkende-handlin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